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E41" w:rsidRPr="00FC6E41" w:rsidRDefault="00FC6E41" w:rsidP="00FC6E41">
      <w:pPr>
        <w:jc w:val="both"/>
        <w:rPr>
          <w:rFonts w:ascii="Arial" w:hAnsi="Arial" w:cs="Arial"/>
          <w:i/>
          <w:sz w:val="18"/>
          <w:szCs w:val="18"/>
        </w:rPr>
      </w:pPr>
      <w:r w:rsidRPr="00FC6E41">
        <w:rPr>
          <w:rFonts w:ascii="Arial" w:hAnsi="Arial" w:cs="Arial"/>
          <w:i/>
          <w:sz w:val="18"/>
          <w:szCs w:val="18"/>
        </w:rPr>
        <w:t>Igualdad de género, compromiso indispensable para la UNAM: Leonardo Lomelí</w:t>
      </w:r>
    </w:p>
    <w:p w:rsidR="00FC6E41" w:rsidRPr="00FC6E41" w:rsidRDefault="00FC6E41" w:rsidP="00FC6E41">
      <w:pPr>
        <w:jc w:val="both"/>
        <w:rPr>
          <w:rFonts w:ascii="Arial" w:hAnsi="Arial" w:cs="Arial"/>
          <w:sz w:val="18"/>
          <w:szCs w:val="18"/>
        </w:rPr>
      </w:pPr>
      <w:r w:rsidRPr="00FC6E41">
        <w:rPr>
          <w:rFonts w:ascii="Arial" w:hAnsi="Arial" w:cs="Arial"/>
          <w:sz w:val="18"/>
          <w:szCs w:val="18"/>
        </w:rPr>
        <w:t>En la Universidad Nacional Autónoma de México (UNAM), la igualdad de género es un compromiso y una política institucional indispensable, afirmó el rector de la máxima casa de estudios, Leonardo Lomelí. Al inaugurar el Tercer Encuentro Anual de Comisiones Internas para la Igualdad de Género (</w:t>
      </w:r>
      <w:proofErr w:type="spellStart"/>
      <w:r w:rsidRPr="00FC6E41">
        <w:rPr>
          <w:rFonts w:ascii="Arial" w:hAnsi="Arial" w:cs="Arial"/>
          <w:sz w:val="18"/>
          <w:szCs w:val="18"/>
        </w:rPr>
        <w:t>CInIG</w:t>
      </w:r>
      <w:proofErr w:type="spellEnd"/>
      <w:r w:rsidRPr="00FC6E41">
        <w:rPr>
          <w:rFonts w:ascii="Arial" w:hAnsi="Arial" w:cs="Arial"/>
          <w:sz w:val="18"/>
          <w:szCs w:val="18"/>
        </w:rPr>
        <w:t xml:space="preserve">) de la Universidad Nacional, el rector sostuvo que la igualdad sustantiva refleja también los valores de justicia, equidad, solidaridad y respeto que se buscan cultivar en la UNAM. En el Centro de Exposiciones y Congresos UNAM, Lomelí Vanegas recordó que el 42 por ciento de las mujeres de 15 años y más han experimentado algún tipo de violencia.  Mencionó que en 2023 también se documentaron más de 59 mil delitos cometidos contra niñas y adolescentes en México, una cifra que dobla la incidencia registrada en niños y adolescentes varones, de acuerdo con el </w:t>
      </w:r>
      <w:proofErr w:type="spellStart"/>
      <w:r w:rsidRPr="00FC6E41">
        <w:rPr>
          <w:rFonts w:ascii="Arial" w:hAnsi="Arial" w:cs="Arial"/>
          <w:sz w:val="18"/>
          <w:szCs w:val="18"/>
        </w:rPr>
        <w:t>Inegi</w:t>
      </w:r>
      <w:proofErr w:type="spellEnd"/>
      <w:r w:rsidRPr="00FC6E41">
        <w:rPr>
          <w:rFonts w:ascii="Arial" w:hAnsi="Arial" w:cs="Arial"/>
          <w:sz w:val="18"/>
          <w:szCs w:val="18"/>
        </w:rPr>
        <w:t>. Destacó que la Universidad, como una de las instituciones de educación superior más importantes de México y el mundo, ha asumido la tarea de contribuir a coordinar y fortalecer la transformación hacia una cultura de igualdad en todos los espacios de interacción universitaria y fuera de ellos.</w:t>
      </w:r>
    </w:p>
    <w:p w:rsidR="00FC6E41" w:rsidRDefault="00FC6E41" w:rsidP="00FC6E41">
      <w:pPr>
        <w:jc w:val="both"/>
        <w:rPr>
          <w:rFonts w:ascii="Arial" w:hAnsi="Arial" w:cs="Arial"/>
          <w:sz w:val="18"/>
          <w:szCs w:val="18"/>
        </w:rPr>
      </w:pPr>
      <w:r w:rsidRPr="00FC6E41">
        <w:rPr>
          <w:rFonts w:ascii="Arial" w:hAnsi="Arial" w:cs="Arial"/>
          <w:b/>
          <w:sz w:val="18"/>
          <w:szCs w:val="18"/>
        </w:rPr>
        <w:t>Milenio,</w:t>
      </w:r>
      <w:r w:rsidRPr="00FC6E41">
        <w:rPr>
          <w:rFonts w:ascii="Arial" w:hAnsi="Arial" w:cs="Arial"/>
          <w:sz w:val="18"/>
          <w:szCs w:val="18"/>
        </w:rPr>
        <w:t xml:space="preserve"> (Alma Paola Wong), </w:t>
      </w:r>
    </w:p>
    <w:p w:rsidR="00FC6E41" w:rsidRPr="00FC6E41" w:rsidRDefault="00FC6E41" w:rsidP="00FC6E41">
      <w:pPr>
        <w:jc w:val="both"/>
        <w:rPr>
          <w:rFonts w:ascii="Arial" w:hAnsi="Arial" w:cs="Arial"/>
          <w:sz w:val="18"/>
          <w:szCs w:val="18"/>
        </w:rPr>
      </w:pPr>
      <w:r w:rsidRPr="00FC6E41">
        <w:rPr>
          <w:rFonts w:ascii="Arial" w:hAnsi="Arial" w:cs="Arial"/>
          <w:sz w:val="18"/>
          <w:szCs w:val="18"/>
        </w:rPr>
        <w:t>https://www.milenio.com/politica/comunidad/unam-procura-igualdad-de-genero-en-la-universidad</w:t>
      </w:r>
    </w:p>
    <w:p w:rsidR="00FC6E41" w:rsidRPr="00FC6E41" w:rsidRDefault="00FC6E41" w:rsidP="00FC6E41">
      <w:pPr>
        <w:jc w:val="both"/>
        <w:rPr>
          <w:rFonts w:ascii="Arial" w:hAnsi="Arial" w:cs="Arial"/>
          <w:sz w:val="18"/>
          <w:szCs w:val="18"/>
        </w:rPr>
      </w:pPr>
    </w:p>
    <w:p w:rsidR="00521F18" w:rsidRPr="00FC6E41" w:rsidRDefault="00521F18" w:rsidP="00FC6E41">
      <w:pPr>
        <w:jc w:val="both"/>
        <w:rPr>
          <w:rFonts w:ascii="Arial" w:hAnsi="Arial" w:cs="Arial"/>
          <w:i/>
          <w:sz w:val="18"/>
          <w:szCs w:val="18"/>
        </w:rPr>
      </w:pPr>
      <w:r w:rsidRPr="00FC6E41">
        <w:rPr>
          <w:rFonts w:ascii="Arial" w:hAnsi="Arial" w:cs="Arial"/>
          <w:i/>
          <w:sz w:val="18"/>
          <w:szCs w:val="18"/>
        </w:rPr>
        <w:t>En compromisos sobre calentamiento global, ninguno se ha cumplido: UNAM</w:t>
      </w:r>
    </w:p>
    <w:p w:rsidR="00521F18" w:rsidRPr="00FC6E41" w:rsidRDefault="00521F18" w:rsidP="00FC6E41">
      <w:pPr>
        <w:jc w:val="both"/>
        <w:rPr>
          <w:rFonts w:ascii="Arial" w:hAnsi="Arial" w:cs="Arial"/>
          <w:sz w:val="18"/>
          <w:szCs w:val="18"/>
        </w:rPr>
      </w:pPr>
      <w:r w:rsidRPr="00FC6E41">
        <w:rPr>
          <w:rFonts w:ascii="Arial" w:hAnsi="Arial" w:cs="Arial"/>
          <w:sz w:val="18"/>
          <w:szCs w:val="18"/>
        </w:rPr>
        <w:t>Si bien se reconocen los compromisos adquiridos por México en la COP29, como la reducción de emisiones de metano para 2050, las contribuciones deben de ser mayores ante el calentamiento global, ya que para finales de este siglo se prevé que los costos por las inundaciones serán de 126 mil millones de dólares y los rendimientos de seis cultivos, entre ellos el maíz, caerían hasta perder dos veces el producto agrícola nacional completo, alertó Francisco Estrada Porrúa, del instituto de Ciencias de la Atmósfera y Cambio Climático.</w:t>
      </w:r>
      <w:r w:rsidR="00FC6E41" w:rsidRPr="00FC6E41">
        <w:rPr>
          <w:rFonts w:ascii="Arial" w:hAnsi="Arial" w:cs="Arial"/>
          <w:sz w:val="18"/>
          <w:szCs w:val="18"/>
        </w:rPr>
        <w:t xml:space="preserve"> </w:t>
      </w:r>
      <w:r w:rsidRPr="00FC6E41">
        <w:rPr>
          <w:rFonts w:ascii="Arial" w:hAnsi="Arial" w:cs="Arial"/>
          <w:sz w:val="18"/>
          <w:szCs w:val="18"/>
        </w:rPr>
        <w:t>En el seminario Implicaciones de la COP 29 para México. De los riesgos a las soluciones, realizado en la Facultad de Química de la UNAM, Estrada precisó que las pérdidas esperadas por anegaciones fluviales por año será de 7 mil millones de dólares, y para finales de siglo pasaremos a 116 mil millones, mientras que para las costeras se esperan que sean de 130 millones de dólares por año, y para finales de siglo de 10 mil millones.</w:t>
      </w:r>
      <w:r w:rsidR="00FC6E41" w:rsidRPr="00FC6E41">
        <w:rPr>
          <w:rFonts w:ascii="Arial" w:hAnsi="Arial" w:cs="Arial"/>
          <w:sz w:val="18"/>
          <w:szCs w:val="18"/>
        </w:rPr>
        <w:t xml:space="preserve"> </w:t>
      </w:r>
      <w:r w:rsidRPr="00FC6E41">
        <w:rPr>
          <w:rFonts w:ascii="Arial" w:hAnsi="Arial" w:cs="Arial"/>
          <w:sz w:val="18"/>
          <w:szCs w:val="18"/>
        </w:rPr>
        <w:t>Explicó que las producciones de maíz caerían de 31 a 42 por ciento, la de trigo de 20 a 23, la de arroz de 41 a 51, la de sorgo de 36 a 41, la de soya de 45 a 59 y la de azúcar a 12, lo que representaría perder 38 mil millones de dólares, dos veces el producto agrícola nacional. Remarcó que ya hay pérdidas en algunos cultivos de entre 5 y 20 por ciento.</w:t>
      </w:r>
    </w:p>
    <w:p w:rsidR="00FC6E41" w:rsidRDefault="00FC6E41" w:rsidP="00FC6E41">
      <w:pPr>
        <w:jc w:val="both"/>
        <w:rPr>
          <w:rFonts w:ascii="Arial" w:hAnsi="Arial" w:cs="Arial"/>
          <w:sz w:val="18"/>
          <w:szCs w:val="18"/>
        </w:rPr>
      </w:pPr>
      <w:r w:rsidRPr="00FC6E41">
        <w:rPr>
          <w:rFonts w:ascii="Arial" w:hAnsi="Arial" w:cs="Arial"/>
          <w:b/>
          <w:sz w:val="18"/>
          <w:szCs w:val="18"/>
        </w:rPr>
        <w:t>La Jornada</w:t>
      </w:r>
      <w:r w:rsidRPr="00FC6E41">
        <w:rPr>
          <w:rFonts w:ascii="Arial" w:hAnsi="Arial" w:cs="Arial"/>
          <w:sz w:val="18"/>
          <w:szCs w:val="18"/>
        </w:rPr>
        <w:t xml:space="preserve">, p.37, (Daniel González Delgadillo), </w:t>
      </w:r>
    </w:p>
    <w:p w:rsidR="00FC6E41" w:rsidRPr="00FC6E41" w:rsidRDefault="00FC6E41" w:rsidP="00FC6E41">
      <w:pPr>
        <w:jc w:val="both"/>
        <w:rPr>
          <w:rFonts w:ascii="Arial" w:hAnsi="Arial" w:cs="Arial"/>
          <w:sz w:val="18"/>
          <w:szCs w:val="18"/>
        </w:rPr>
      </w:pPr>
      <w:r w:rsidRPr="00FC6E41">
        <w:rPr>
          <w:rFonts w:ascii="Arial" w:hAnsi="Arial" w:cs="Arial"/>
          <w:sz w:val="18"/>
          <w:szCs w:val="18"/>
        </w:rPr>
        <w:t>https://www.jornada.com.mx/2024/11/27/sociedad/037n1soc</w:t>
      </w:r>
    </w:p>
    <w:p w:rsidR="00FC6E41" w:rsidRPr="00FC6E41" w:rsidRDefault="00FC6E41" w:rsidP="00FC6E41">
      <w:pPr>
        <w:jc w:val="both"/>
        <w:rPr>
          <w:rFonts w:ascii="Arial" w:hAnsi="Arial" w:cs="Arial"/>
          <w:sz w:val="18"/>
          <w:szCs w:val="18"/>
        </w:rPr>
      </w:pPr>
    </w:p>
    <w:p w:rsidR="004C6BF4" w:rsidRPr="00FC6E41" w:rsidRDefault="004C6BF4" w:rsidP="00FC6E41">
      <w:pPr>
        <w:jc w:val="both"/>
        <w:rPr>
          <w:rFonts w:ascii="Arial" w:hAnsi="Arial" w:cs="Arial"/>
          <w:i/>
          <w:sz w:val="18"/>
          <w:szCs w:val="18"/>
        </w:rPr>
      </w:pPr>
      <w:r w:rsidRPr="00FC6E41">
        <w:rPr>
          <w:rFonts w:ascii="Arial" w:hAnsi="Arial" w:cs="Arial"/>
          <w:i/>
          <w:sz w:val="18"/>
          <w:szCs w:val="18"/>
        </w:rPr>
        <w:t>La visión artificial revoluciona el aprendizaje químico en la UAG</w:t>
      </w:r>
    </w:p>
    <w:p w:rsidR="004C6BF4" w:rsidRPr="00FC6E41" w:rsidRDefault="004C6BF4" w:rsidP="00FC6E41">
      <w:pPr>
        <w:jc w:val="both"/>
        <w:rPr>
          <w:rFonts w:ascii="Arial" w:hAnsi="Arial" w:cs="Arial"/>
          <w:sz w:val="18"/>
          <w:szCs w:val="18"/>
        </w:rPr>
      </w:pPr>
      <w:r w:rsidRPr="00FC6E41">
        <w:rPr>
          <w:rFonts w:ascii="Arial" w:hAnsi="Arial" w:cs="Arial"/>
          <w:sz w:val="18"/>
          <w:szCs w:val="18"/>
        </w:rPr>
        <w:t>La Universidad Autónoma de Guadalajara (UAG) avanza hacia la integración de la tecnología en la enseñanza de las ciencias químicas con el desarrollo de BGR-</w:t>
      </w:r>
      <w:proofErr w:type="spellStart"/>
      <w:r w:rsidRPr="00FC6E41">
        <w:rPr>
          <w:rFonts w:ascii="Arial" w:hAnsi="Arial" w:cs="Arial"/>
          <w:sz w:val="18"/>
          <w:szCs w:val="18"/>
        </w:rPr>
        <w:t>Chem</w:t>
      </w:r>
      <w:proofErr w:type="spellEnd"/>
      <w:r w:rsidRPr="00FC6E41">
        <w:rPr>
          <w:rFonts w:ascii="Arial" w:hAnsi="Arial" w:cs="Arial"/>
          <w:sz w:val="18"/>
          <w:szCs w:val="18"/>
        </w:rPr>
        <w:t xml:space="preserve"> </w:t>
      </w:r>
      <w:proofErr w:type="spellStart"/>
      <w:r w:rsidRPr="00FC6E41">
        <w:rPr>
          <w:rFonts w:ascii="Arial" w:hAnsi="Arial" w:cs="Arial"/>
          <w:sz w:val="18"/>
          <w:szCs w:val="18"/>
        </w:rPr>
        <w:t>Lab</w:t>
      </w:r>
      <w:proofErr w:type="spellEnd"/>
      <w:r w:rsidRPr="00FC6E41">
        <w:rPr>
          <w:rFonts w:ascii="Arial" w:hAnsi="Arial" w:cs="Arial"/>
          <w:sz w:val="18"/>
          <w:szCs w:val="18"/>
        </w:rPr>
        <w:t xml:space="preserve"> 2.5, un software de análisis de color basado en visión artificial. Esta herramienta permite transformar un teléfono móvil en un laboratorio portátil de colorimetría, facilitando la comprensión de fenómenos químicos complejos de manera más precisa y accesible. El proyecto, liderado por Kevin David Montes Peña, estudiante de Ingeniería Química, bajo la supervisión del Dr. Luis A. Romero Cano, utiliza modelos de color como RGB y CIE-</w:t>
      </w:r>
      <w:proofErr w:type="spellStart"/>
      <w:r w:rsidRPr="00FC6E41">
        <w:rPr>
          <w:rFonts w:ascii="Arial" w:hAnsi="Arial" w:cs="Arial"/>
          <w:sz w:val="18"/>
          <w:szCs w:val="18"/>
        </w:rPr>
        <w:t>Lab</w:t>
      </w:r>
      <w:proofErr w:type="spellEnd"/>
      <w:r w:rsidRPr="00FC6E41">
        <w:rPr>
          <w:rFonts w:ascii="Arial" w:hAnsi="Arial" w:cs="Arial"/>
          <w:sz w:val="18"/>
          <w:szCs w:val="18"/>
        </w:rPr>
        <w:t xml:space="preserve"> para analizar imágenes en tiempo real a través de cámaras digitales. La UAG ya ha registrado los derechos del software ante el Instituto Nacional del Derecho de Autor (INDAUTOR), lo que respalda su originalidad e innovación. El software también se incorporó al programa académico de la UAG en el periodo 2024-B, específicamente en la asignatura “Introducción al Laboratorio”, donde estudiantes de Ingeniería en Biotecnología, Alimentos y Químico </w:t>
      </w:r>
      <w:proofErr w:type="spellStart"/>
      <w:r w:rsidRPr="00FC6E41">
        <w:rPr>
          <w:rFonts w:ascii="Arial" w:hAnsi="Arial" w:cs="Arial"/>
          <w:sz w:val="18"/>
          <w:szCs w:val="18"/>
        </w:rPr>
        <w:t>Farmacobiólogo</w:t>
      </w:r>
      <w:proofErr w:type="spellEnd"/>
      <w:r w:rsidRPr="00FC6E41">
        <w:rPr>
          <w:rFonts w:ascii="Arial" w:hAnsi="Arial" w:cs="Arial"/>
          <w:sz w:val="18"/>
          <w:szCs w:val="18"/>
        </w:rPr>
        <w:t xml:space="preserve"> aplicaron BGR-</w:t>
      </w:r>
      <w:proofErr w:type="spellStart"/>
      <w:r w:rsidRPr="00FC6E41">
        <w:rPr>
          <w:rFonts w:ascii="Arial" w:hAnsi="Arial" w:cs="Arial"/>
          <w:sz w:val="18"/>
          <w:szCs w:val="18"/>
        </w:rPr>
        <w:t>Chem</w:t>
      </w:r>
      <w:proofErr w:type="spellEnd"/>
      <w:r w:rsidRPr="00FC6E41">
        <w:rPr>
          <w:rFonts w:ascii="Arial" w:hAnsi="Arial" w:cs="Arial"/>
          <w:sz w:val="18"/>
          <w:szCs w:val="18"/>
        </w:rPr>
        <w:t xml:space="preserve"> </w:t>
      </w:r>
      <w:proofErr w:type="spellStart"/>
      <w:r w:rsidRPr="00FC6E41">
        <w:rPr>
          <w:rFonts w:ascii="Arial" w:hAnsi="Arial" w:cs="Arial"/>
          <w:sz w:val="18"/>
          <w:szCs w:val="18"/>
        </w:rPr>
        <w:t>Lab</w:t>
      </w:r>
      <w:proofErr w:type="spellEnd"/>
      <w:r w:rsidRPr="00FC6E41">
        <w:rPr>
          <w:rFonts w:ascii="Arial" w:hAnsi="Arial" w:cs="Arial"/>
          <w:sz w:val="18"/>
          <w:szCs w:val="18"/>
        </w:rPr>
        <w:t xml:space="preserve"> 2.5 en prácticas relacionadas con la adulteración de productos como medicamentos y bebidas. Estas actividades destacaron por promover el trabajo en equipo, el análisis crítico y la comprensión de herramientas tecnológicas avanzadas.</w:t>
      </w:r>
    </w:p>
    <w:p w:rsidR="00FC6E41" w:rsidRDefault="00FC6E41" w:rsidP="00FC6E41">
      <w:pPr>
        <w:jc w:val="both"/>
        <w:rPr>
          <w:rFonts w:ascii="Arial" w:hAnsi="Arial" w:cs="Arial"/>
          <w:sz w:val="18"/>
          <w:szCs w:val="18"/>
        </w:rPr>
      </w:pPr>
      <w:r>
        <w:rPr>
          <w:rFonts w:ascii="Arial" w:hAnsi="Arial" w:cs="Arial"/>
          <w:b/>
          <w:sz w:val="18"/>
          <w:szCs w:val="18"/>
        </w:rPr>
        <w:t>La</w:t>
      </w:r>
      <w:bookmarkStart w:id="0" w:name="_GoBack"/>
      <w:bookmarkEnd w:id="0"/>
      <w:r w:rsidR="004C6BF4" w:rsidRPr="00FC6E41">
        <w:rPr>
          <w:rFonts w:ascii="Arial" w:hAnsi="Arial" w:cs="Arial"/>
          <w:b/>
          <w:sz w:val="18"/>
          <w:szCs w:val="18"/>
        </w:rPr>
        <w:t xml:space="preserve"> Crónica</w:t>
      </w:r>
      <w:r w:rsidR="004C6BF4" w:rsidRPr="00FC6E41">
        <w:rPr>
          <w:rFonts w:ascii="Arial" w:hAnsi="Arial" w:cs="Arial"/>
          <w:sz w:val="18"/>
          <w:szCs w:val="18"/>
        </w:rPr>
        <w:t xml:space="preserve">, (Diego Araiza), </w:t>
      </w:r>
    </w:p>
    <w:p w:rsidR="004C6BF4" w:rsidRPr="00FC6E41" w:rsidRDefault="004C6BF4" w:rsidP="00FC6E41">
      <w:pPr>
        <w:jc w:val="both"/>
        <w:rPr>
          <w:rFonts w:ascii="Arial" w:hAnsi="Arial" w:cs="Arial"/>
          <w:sz w:val="18"/>
          <w:szCs w:val="18"/>
        </w:rPr>
      </w:pPr>
      <w:r w:rsidRPr="00FC6E41">
        <w:rPr>
          <w:rFonts w:ascii="Arial" w:hAnsi="Arial" w:cs="Arial"/>
          <w:sz w:val="18"/>
          <w:szCs w:val="18"/>
        </w:rPr>
        <w:t>https://www.cronica.com.mx/academia/2024/11/26/la-vision-artificial-revoluciona-el-aprendizaje-quimico-en-la-uag/</w:t>
      </w:r>
    </w:p>
    <w:p w:rsidR="004C6BF4" w:rsidRPr="00FC6E41" w:rsidRDefault="004C6BF4" w:rsidP="00FC6E41">
      <w:pPr>
        <w:jc w:val="both"/>
        <w:rPr>
          <w:rFonts w:ascii="Arial" w:hAnsi="Arial" w:cs="Arial"/>
          <w:sz w:val="18"/>
          <w:szCs w:val="18"/>
        </w:rPr>
      </w:pPr>
    </w:p>
    <w:p w:rsidR="004C6BF4" w:rsidRPr="00FC6E41" w:rsidRDefault="00FC6E41" w:rsidP="00FC6E41">
      <w:pPr>
        <w:jc w:val="both"/>
        <w:rPr>
          <w:rFonts w:ascii="Arial" w:hAnsi="Arial" w:cs="Arial"/>
          <w:b/>
          <w:sz w:val="18"/>
          <w:szCs w:val="18"/>
        </w:rPr>
      </w:pPr>
      <w:r w:rsidRPr="00FC6E41">
        <w:rPr>
          <w:rFonts w:ascii="Arial" w:hAnsi="Arial" w:cs="Arial"/>
          <w:b/>
          <w:sz w:val="18"/>
          <w:szCs w:val="18"/>
        </w:rPr>
        <w:t>Internacional</w:t>
      </w:r>
    </w:p>
    <w:p w:rsidR="006E64F3" w:rsidRPr="00FC6E41" w:rsidRDefault="006E64F3" w:rsidP="00FC6E41">
      <w:pPr>
        <w:jc w:val="both"/>
        <w:rPr>
          <w:rFonts w:ascii="Arial" w:hAnsi="Arial" w:cs="Arial"/>
          <w:i/>
          <w:sz w:val="18"/>
          <w:szCs w:val="18"/>
        </w:rPr>
      </w:pPr>
      <w:r w:rsidRPr="00FC6E41">
        <w:rPr>
          <w:rFonts w:ascii="Arial" w:hAnsi="Arial" w:cs="Arial"/>
          <w:i/>
          <w:sz w:val="18"/>
          <w:szCs w:val="18"/>
        </w:rPr>
        <w:t>Cargos educativos reflejan una gran brecha de género: Unesco</w:t>
      </w:r>
    </w:p>
    <w:p w:rsidR="006E64F3" w:rsidRPr="00FC6E41" w:rsidRDefault="006E64F3" w:rsidP="00FC6E41">
      <w:pPr>
        <w:jc w:val="both"/>
        <w:rPr>
          <w:rFonts w:ascii="Arial" w:hAnsi="Arial" w:cs="Arial"/>
          <w:sz w:val="18"/>
          <w:szCs w:val="18"/>
        </w:rPr>
      </w:pPr>
      <w:r w:rsidRPr="00FC6E41">
        <w:rPr>
          <w:rFonts w:ascii="Arial" w:hAnsi="Arial" w:cs="Arial"/>
          <w:sz w:val="18"/>
          <w:szCs w:val="18"/>
        </w:rPr>
        <w:t>En América Latina y el Caribe sólo 18 por ciento de las rectorías en universidades públicas son ocupadas por mujeres, mientras que menos de la mitad de los cargos de docente en educación superior son asignados a profesoras, afirmaron especialistas en el coloquio Hacia la igualdad de género en educación superior: buenas prácticas y desafíos pendientes, convocado por la Organización de las Naciones Unidas para la Educación, la Ciencia y la Cultura (Unesco).</w:t>
      </w:r>
      <w:r w:rsidR="00FC6E41" w:rsidRPr="00FC6E41">
        <w:rPr>
          <w:rFonts w:ascii="Arial" w:hAnsi="Arial" w:cs="Arial"/>
          <w:sz w:val="18"/>
          <w:szCs w:val="18"/>
        </w:rPr>
        <w:t xml:space="preserve"> </w:t>
      </w:r>
      <w:r w:rsidRPr="00FC6E41">
        <w:rPr>
          <w:rFonts w:ascii="Arial" w:hAnsi="Arial" w:cs="Arial"/>
          <w:sz w:val="18"/>
          <w:szCs w:val="18"/>
        </w:rPr>
        <w:t>En el marco de los 16 Días de Activismo contra la Violencia de Género, especialistas de Cuba, Chile y Uruguay destacaron que no basta con tener un protocolo, una dirección general de género, una normatividad en cada universidad, la aguja que mide la desigualdad en la toma de decisiones sigue sin moverse.</w:t>
      </w:r>
      <w:r w:rsidR="00FC6E41" w:rsidRPr="00FC6E41">
        <w:rPr>
          <w:rFonts w:ascii="Arial" w:hAnsi="Arial" w:cs="Arial"/>
          <w:sz w:val="18"/>
          <w:szCs w:val="18"/>
        </w:rPr>
        <w:t xml:space="preserve"> </w:t>
      </w:r>
      <w:r w:rsidRPr="00FC6E41">
        <w:rPr>
          <w:rFonts w:ascii="Arial" w:hAnsi="Arial" w:cs="Arial"/>
          <w:sz w:val="18"/>
          <w:szCs w:val="18"/>
        </w:rPr>
        <w:t xml:space="preserve">De acuerdo con datos del organismo internacional, a pesar que 52.1 por ciento de los alumnos que cursan su educación universitaria son mujeres, su presencia disminuye conforme avanzan los </w:t>
      </w:r>
      <w:r w:rsidRPr="00FC6E41">
        <w:rPr>
          <w:rFonts w:ascii="Arial" w:hAnsi="Arial" w:cs="Arial"/>
          <w:sz w:val="18"/>
          <w:szCs w:val="18"/>
        </w:rPr>
        <w:lastRenderedPageBreak/>
        <w:t>grados académicos, en particular en el doctorado, requisito indispensable en la mayoría de instituciones de educación superior para aspirar a cargos directivos.</w:t>
      </w:r>
    </w:p>
    <w:p w:rsidR="00FC6E41" w:rsidRDefault="00FC6E41" w:rsidP="00FC6E41">
      <w:pPr>
        <w:jc w:val="both"/>
        <w:rPr>
          <w:rFonts w:ascii="Arial" w:hAnsi="Arial" w:cs="Arial"/>
          <w:sz w:val="18"/>
          <w:szCs w:val="18"/>
        </w:rPr>
      </w:pPr>
      <w:r w:rsidRPr="00FC6E41">
        <w:rPr>
          <w:rFonts w:ascii="Arial" w:hAnsi="Arial" w:cs="Arial"/>
          <w:b/>
          <w:sz w:val="18"/>
          <w:szCs w:val="18"/>
        </w:rPr>
        <w:t>La  Jornada</w:t>
      </w:r>
      <w:r w:rsidRPr="00FC6E41">
        <w:rPr>
          <w:rFonts w:ascii="Arial" w:hAnsi="Arial" w:cs="Arial"/>
          <w:sz w:val="18"/>
          <w:szCs w:val="18"/>
        </w:rPr>
        <w:t xml:space="preserve">, p.16, (Laura </w:t>
      </w:r>
      <w:proofErr w:type="spellStart"/>
      <w:r w:rsidRPr="00FC6E41">
        <w:rPr>
          <w:rFonts w:ascii="Arial" w:hAnsi="Arial" w:cs="Arial"/>
          <w:sz w:val="18"/>
          <w:szCs w:val="18"/>
        </w:rPr>
        <w:t>Poy</w:t>
      </w:r>
      <w:proofErr w:type="spellEnd"/>
      <w:r w:rsidRPr="00FC6E41">
        <w:rPr>
          <w:rFonts w:ascii="Arial" w:hAnsi="Arial" w:cs="Arial"/>
          <w:sz w:val="18"/>
          <w:szCs w:val="18"/>
        </w:rPr>
        <w:t xml:space="preserve"> Solano), </w:t>
      </w:r>
    </w:p>
    <w:p w:rsidR="00FC6E41" w:rsidRPr="00FC6E41" w:rsidRDefault="00FC6E41" w:rsidP="00FC6E41">
      <w:pPr>
        <w:jc w:val="both"/>
        <w:rPr>
          <w:rFonts w:ascii="Arial" w:hAnsi="Arial" w:cs="Arial"/>
          <w:sz w:val="18"/>
          <w:szCs w:val="18"/>
        </w:rPr>
      </w:pPr>
      <w:r w:rsidRPr="00FC6E41">
        <w:rPr>
          <w:rFonts w:ascii="Arial" w:hAnsi="Arial" w:cs="Arial"/>
          <w:sz w:val="18"/>
          <w:szCs w:val="18"/>
        </w:rPr>
        <w:t>https://www.jornada.com.mx/2024/11/27/politica/016n4pol</w:t>
      </w:r>
    </w:p>
    <w:p w:rsidR="00521F18" w:rsidRPr="00FC6E41" w:rsidRDefault="00521F18" w:rsidP="00FC6E41">
      <w:pPr>
        <w:jc w:val="both"/>
        <w:rPr>
          <w:rFonts w:ascii="Arial" w:hAnsi="Arial" w:cs="Arial"/>
          <w:sz w:val="18"/>
          <w:szCs w:val="18"/>
        </w:rPr>
      </w:pPr>
    </w:p>
    <w:p w:rsidR="006E64F3" w:rsidRPr="00FC6E41" w:rsidRDefault="006E64F3" w:rsidP="00FC6E41">
      <w:pPr>
        <w:jc w:val="both"/>
        <w:rPr>
          <w:rFonts w:ascii="Arial" w:hAnsi="Arial" w:cs="Arial"/>
          <w:i/>
          <w:sz w:val="18"/>
          <w:szCs w:val="18"/>
        </w:rPr>
      </w:pPr>
      <w:r w:rsidRPr="00FC6E41">
        <w:rPr>
          <w:rFonts w:ascii="Arial" w:hAnsi="Arial" w:cs="Arial"/>
          <w:i/>
          <w:sz w:val="18"/>
          <w:szCs w:val="18"/>
        </w:rPr>
        <w:t>Científicos en EU buscan píldora para limitar eructos de vacas y ayudar al clima</w:t>
      </w:r>
    </w:p>
    <w:p w:rsidR="006E64F3" w:rsidRPr="00FC6E41" w:rsidRDefault="006E64F3" w:rsidP="00FC6E41">
      <w:pPr>
        <w:jc w:val="both"/>
        <w:rPr>
          <w:rFonts w:ascii="Arial" w:hAnsi="Arial" w:cs="Arial"/>
          <w:sz w:val="18"/>
          <w:szCs w:val="18"/>
        </w:rPr>
      </w:pPr>
      <w:r w:rsidRPr="00FC6E41">
        <w:rPr>
          <w:rFonts w:ascii="Arial" w:hAnsi="Arial" w:cs="Arial"/>
          <w:sz w:val="18"/>
          <w:szCs w:val="18"/>
        </w:rPr>
        <w:t xml:space="preserve">Un científico introduce un tubo largo por la boca hasta el estómago de </w:t>
      </w:r>
      <w:proofErr w:type="spellStart"/>
      <w:r w:rsidRPr="00FC6E41">
        <w:rPr>
          <w:rFonts w:ascii="Arial" w:hAnsi="Arial" w:cs="Arial"/>
          <w:sz w:val="18"/>
          <w:szCs w:val="18"/>
        </w:rPr>
        <w:t>Thing</w:t>
      </w:r>
      <w:proofErr w:type="spellEnd"/>
      <w:r w:rsidRPr="00FC6E41">
        <w:rPr>
          <w:rFonts w:ascii="Arial" w:hAnsi="Arial" w:cs="Arial"/>
          <w:sz w:val="18"/>
          <w:szCs w:val="18"/>
        </w:rPr>
        <w:t xml:space="preserve"> 1, un ternero de dos meses que forma parte de un proyecto de investigación cuyo objetivo es evitar que las vacas eructen metano, un potente gas de efecto invernadero.</w:t>
      </w:r>
      <w:r w:rsidR="00FC6E41" w:rsidRPr="00FC6E41">
        <w:rPr>
          <w:rFonts w:ascii="Arial" w:hAnsi="Arial" w:cs="Arial"/>
          <w:sz w:val="18"/>
          <w:szCs w:val="18"/>
        </w:rPr>
        <w:t xml:space="preserve"> </w:t>
      </w:r>
      <w:r w:rsidRPr="00FC6E41">
        <w:rPr>
          <w:rFonts w:ascii="Arial" w:hAnsi="Arial" w:cs="Arial"/>
          <w:sz w:val="18"/>
          <w:szCs w:val="18"/>
        </w:rPr>
        <w:t xml:space="preserve">Paulo de Meo </w:t>
      </w:r>
      <w:proofErr w:type="spellStart"/>
      <w:r w:rsidRPr="00FC6E41">
        <w:rPr>
          <w:rFonts w:ascii="Arial" w:hAnsi="Arial" w:cs="Arial"/>
          <w:sz w:val="18"/>
          <w:szCs w:val="18"/>
        </w:rPr>
        <w:t>Filho</w:t>
      </w:r>
      <w:proofErr w:type="spellEnd"/>
      <w:r w:rsidRPr="00FC6E41">
        <w:rPr>
          <w:rFonts w:ascii="Arial" w:hAnsi="Arial" w:cs="Arial"/>
          <w:sz w:val="18"/>
          <w:szCs w:val="18"/>
        </w:rPr>
        <w:t>, investigador posdoctoral de la Universidad de California (UC), en la ciudad de Davis, participa en un ambicioso experimento cuya finalidad es desarrollar una píldora para transformar las bacterias intestinales de las vacas de modo que emitan menos metano o nada.</w:t>
      </w:r>
      <w:r w:rsidR="00FC6E41" w:rsidRPr="00FC6E41">
        <w:rPr>
          <w:rFonts w:ascii="Arial" w:hAnsi="Arial" w:cs="Arial"/>
          <w:sz w:val="18"/>
          <w:szCs w:val="18"/>
        </w:rPr>
        <w:t xml:space="preserve"> </w:t>
      </w:r>
      <w:r w:rsidRPr="00FC6E41">
        <w:rPr>
          <w:rFonts w:ascii="Arial" w:hAnsi="Arial" w:cs="Arial"/>
          <w:sz w:val="18"/>
          <w:szCs w:val="18"/>
        </w:rPr>
        <w:t>Aunque la industria de los combustibles fósiles y algunas fuentes naturales emiten metano, la ganadería se ha convertido en una importante preocupación climática debido al gran volumen de emisiones gaseosas de las vacas.</w:t>
      </w:r>
      <w:r w:rsidR="00FC6E41" w:rsidRPr="00FC6E41">
        <w:rPr>
          <w:rFonts w:ascii="Arial" w:hAnsi="Arial" w:cs="Arial"/>
          <w:sz w:val="18"/>
          <w:szCs w:val="18"/>
        </w:rPr>
        <w:t xml:space="preserve"> </w:t>
      </w:r>
      <w:r w:rsidRPr="00FC6E41">
        <w:rPr>
          <w:rFonts w:ascii="Arial" w:hAnsi="Arial" w:cs="Arial"/>
          <w:sz w:val="18"/>
          <w:szCs w:val="18"/>
        </w:rPr>
        <w:t xml:space="preserve">Casi la mitad del aumento de la temperatura (global) que hemos tenido hasta ahora es por metano, explicó </w:t>
      </w:r>
      <w:proofErr w:type="spellStart"/>
      <w:r w:rsidRPr="00FC6E41">
        <w:rPr>
          <w:rFonts w:ascii="Arial" w:hAnsi="Arial" w:cs="Arial"/>
          <w:sz w:val="18"/>
          <w:szCs w:val="18"/>
        </w:rPr>
        <w:t>Ermias</w:t>
      </w:r>
      <w:proofErr w:type="spellEnd"/>
      <w:r w:rsidRPr="00FC6E41">
        <w:rPr>
          <w:rFonts w:ascii="Arial" w:hAnsi="Arial" w:cs="Arial"/>
          <w:sz w:val="18"/>
          <w:szCs w:val="18"/>
        </w:rPr>
        <w:t xml:space="preserve"> </w:t>
      </w:r>
      <w:proofErr w:type="spellStart"/>
      <w:r w:rsidRPr="00FC6E41">
        <w:rPr>
          <w:rFonts w:ascii="Arial" w:hAnsi="Arial" w:cs="Arial"/>
          <w:sz w:val="18"/>
          <w:szCs w:val="18"/>
        </w:rPr>
        <w:t>Kebreab</w:t>
      </w:r>
      <w:proofErr w:type="spellEnd"/>
      <w:r w:rsidRPr="00FC6E41">
        <w:rPr>
          <w:rFonts w:ascii="Arial" w:hAnsi="Arial" w:cs="Arial"/>
          <w:sz w:val="18"/>
          <w:szCs w:val="18"/>
        </w:rPr>
        <w:t>, profesor de ciencias animales de la UC.</w:t>
      </w:r>
      <w:r w:rsidR="00FC6E41" w:rsidRPr="00FC6E41">
        <w:rPr>
          <w:rFonts w:ascii="Arial" w:hAnsi="Arial" w:cs="Arial"/>
          <w:sz w:val="18"/>
          <w:szCs w:val="18"/>
        </w:rPr>
        <w:t xml:space="preserve"> </w:t>
      </w:r>
      <w:r w:rsidRPr="00FC6E41">
        <w:rPr>
          <w:rFonts w:ascii="Arial" w:hAnsi="Arial" w:cs="Arial"/>
          <w:sz w:val="18"/>
          <w:szCs w:val="18"/>
        </w:rPr>
        <w:t>El metano, el segundo mayor factor que propicia el cambio climático después del dióxido de carbono, se descompone más rápido que éste último, pero tiene efecto más potente.</w:t>
      </w:r>
    </w:p>
    <w:p w:rsidR="00FC6E41" w:rsidRDefault="00FC6E41" w:rsidP="00FC6E41">
      <w:pPr>
        <w:jc w:val="both"/>
        <w:rPr>
          <w:rFonts w:ascii="Arial" w:hAnsi="Arial" w:cs="Arial"/>
          <w:sz w:val="18"/>
          <w:szCs w:val="18"/>
        </w:rPr>
      </w:pPr>
      <w:r w:rsidRPr="00FC6E41">
        <w:rPr>
          <w:rFonts w:ascii="Arial" w:hAnsi="Arial" w:cs="Arial"/>
          <w:b/>
          <w:sz w:val="18"/>
          <w:szCs w:val="18"/>
        </w:rPr>
        <w:t>La Jornada</w:t>
      </w:r>
      <w:r w:rsidRPr="00FC6E41">
        <w:rPr>
          <w:rFonts w:ascii="Arial" w:hAnsi="Arial" w:cs="Arial"/>
          <w:sz w:val="18"/>
          <w:szCs w:val="18"/>
        </w:rPr>
        <w:t>, p.6, (</w:t>
      </w:r>
      <w:proofErr w:type="spellStart"/>
      <w:r w:rsidRPr="00FC6E41">
        <w:rPr>
          <w:rFonts w:ascii="Arial" w:hAnsi="Arial" w:cs="Arial"/>
          <w:sz w:val="18"/>
          <w:szCs w:val="18"/>
        </w:rPr>
        <w:t>Afp</w:t>
      </w:r>
      <w:proofErr w:type="spellEnd"/>
      <w:r w:rsidRPr="00FC6E41">
        <w:rPr>
          <w:rFonts w:ascii="Arial" w:hAnsi="Arial" w:cs="Arial"/>
          <w:sz w:val="18"/>
          <w:szCs w:val="18"/>
        </w:rPr>
        <w:t xml:space="preserve">), </w:t>
      </w:r>
    </w:p>
    <w:p w:rsidR="00FC6E41" w:rsidRPr="00FC6E41" w:rsidRDefault="00FC6E41" w:rsidP="00FC6E41">
      <w:pPr>
        <w:jc w:val="both"/>
        <w:rPr>
          <w:rFonts w:ascii="Arial" w:hAnsi="Arial" w:cs="Arial"/>
          <w:sz w:val="18"/>
          <w:szCs w:val="18"/>
        </w:rPr>
      </w:pPr>
      <w:r w:rsidRPr="00FC6E41">
        <w:rPr>
          <w:rFonts w:ascii="Arial" w:hAnsi="Arial" w:cs="Arial"/>
          <w:sz w:val="18"/>
          <w:szCs w:val="18"/>
        </w:rPr>
        <w:t>https://www.jornada.com.mx/2024/11/27/ciencias/a06n1cie</w:t>
      </w:r>
    </w:p>
    <w:p w:rsidR="006E64F3" w:rsidRPr="00FC6E41" w:rsidRDefault="006E64F3" w:rsidP="00FC6E41">
      <w:pPr>
        <w:jc w:val="both"/>
        <w:rPr>
          <w:rFonts w:ascii="Arial" w:hAnsi="Arial" w:cs="Arial"/>
          <w:sz w:val="18"/>
          <w:szCs w:val="18"/>
        </w:rPr>
      </w:pPr>
    </w:p>
    <w:p w:rsidR="00521F18" w:rsidRPr="00FC6E41" w:rsidRDefault="00521F18" w:rsidP="00FC6E41">
      <w:pPr>
        <w:jc w:val="both"/>
        <w:rPr>
          <w:rFonts w:ascii="Arial" w:hAnsi="Arial" w:cs="Arial"/>
          <w:i/>
          <w:sz w:val="18"/>
          <w:szCs w:val="18"/>
        </w:rPr>
      </w:pPr>
      <w:r w:rsidRPr="00FC6E41">
        <w:rPr>
          <w:rFonts w:ascii="Arial" w:hAnsi="Arial" w:cs="Arial"/>
          <w:i/>
          <w:sz w:val="18"/>
          <w:szCs w:val="18"/>
        </w:rPr>
        <w:t>Identifican nuevo “reloj” que estructura el sueño</w:t>
      </w:r>
    </w:p>
    <w:p w:rsidR="00521F18" w:rsidRPr="00FC6E41" w:rsidRDefault="00521F18" w:rsidP="00FC6E41">
      <w:pPr>
        <w:jc w:val="both"/>
        <w:rPr>
          <w:rFonts w:ascii="Arial" w:hAnsi="Arial" w:cs="Arial"/>
          <w:sz w:val="18"/>
          <w:szCs w:val="18"/>
        </w:rPr>
      </w:pPr>
      <w:r w:rsidRPr="00FC6E41">
        <w:rPr>
          <w:rFonts w:ascii="Arial" w:hAnsi="Arial" w:cs="Arial"/>
          <w:sz w:val="18"/>
          <w:szCs w:val="18"/>
        </w:rPr>
        <w:t xml:space="preserve">Los trastornos del sueño afectan a un número cada vez mayor de personas y pueden tener consecuencias graves para su salud. El sueño de los mamíferos se compone de ciclos entre dos estados: el sueño sin movimientos oculares rápidos (NREM) y el sueño con movimientos oculares rápidos (REM). Sin embargo, las reglas que rigen estos ciclos siguen siendo poco conocidas. Un estudio dirigido por la profesora Anita </w:t>
      </w:r>
      <w:proofErr w:type="spellStart"/>
      <w:r w:rsidRPr="00FC6E41">
        <w:rPr>
          <w:rFonts w:ascii="Arial" w:hAnsi="Arial" w:cs="Arial"/>
          <w:sz w:val="18"/>
          <w:szCs w:val="18"/>
        </w:rPr>
        <w:t>Lüthi</w:t>
      </w:r>
      <w:proofErr w:type="spellEnd"/>
      <w:r w:rsidRPr="00FC6E41">
        <w:rPr>
          <w:rFonts w:ascii="Arial" w:hAnsi="Arial" w:cs="Arial"/>
          <w:sz w:val="18"/>
          <w:szCs w:val="18"/>
        </w:rPr>
        <w:t xml:space="preserve">, investigadora del Departamento de Neurociencias Fundamentales de la Facultad de Biología y Medicina de la Universidad de Lausana (UNIL), muestra por primera vez que el “locus </w:t>
      </w:r>
      <w:proofErr w:type="spellStart"/>
      <w:r w:rsidRPr="00FC6E41">
        <w:rPr>
          <w:rFonts w:ascii="Arial" w:hAnsi="Arial" w:cs="Arial"/>
          <w:sz w:val="18"/>
          <w:szCs w:val="18"/>
        </w:rPr>
        <w:t>coeruleus</w:t>
      </w:r>
      <w:proofErr w:type="spellEnd"/>
      <w:r w:rsidRPr="00FC6E41">
        <w:rPr>
          <w:rFonts w:ascii="Arial" w:hAnsi="Arial" w:cs="Arial"/>
          <w:sz w:val="18"/>
          <w:szCs w:val="18"/>
        </w:rPr>
        <w:t xml:space="preserve">” (LC), una región del tronco encefálico, está implicado en la organización del sueño. Hasta ahora se sabía que el LC era el principal regulador de la capacidad de reacción ante situaciones difíciles durante la vigilia, no durante el sueño. El estudio realizado por Anita </w:t>
      </w:r>
      <w:proofErr w:type="spellStart"/>
      <w:r w:rsidRPr="00FC6E41">
        <w:rPr>
          <w:rFonts w:ascii="Arial" w:hAnsi="Arial" w:cs="Arial"/>
          <w:sz w:val="18"/>
          <w:szCs w:val="18"/>
        </w:rPr>
        <w:t>Lüthi</w:t>
      </w:r>
      <w:proofErr w:type="spellEnd"/>
      <w:r w:rsidRPr="00FC6E41">
        <w:rPr>
          <w:rFonts w:ascii="Arial" w:hAnsi="Arial" w:cs="Arial"/>
          <w:sz w:val="18"/>
          <w:szCs w:val="18"/>
        </w:rPr>
        <w:t xml:space="preserve"> y publicado en “</w:t>
      </w:r>
      <w:proofErr w:type="spellStart"/>
      <w:r w:rsidRPr="00FC6E41">
        <w:rPr>
          <w:rFonts w:ascii="Arial" w:hAnsi="Arial" w:cs="Arial"/>
          <w:sz w:val="18"/>
          <w:szCs w:val="18"/>
        </w:rPr>
        <w:t>Nature</w:t>
      </w:r>
      <w:proofErr w:type="spellEnd"/>
      <w:r w:rsidRPr="00FC6E41">
        <w:rPr>
          <w:rFonts w:ascii="Arial" w:hAnsi="Arial" w:cs="Arial"/>
          <w:sz w:val="18"/>
          <w:szCs w:val="18"/>
        </w:rPr>
        <w:t xml:space="preserve"> </w:t>
      </w:r>
      <w:proofErr w:type="spellStart"/>
      <w:r w:rsidRPr="00FC6E41">
        <w:rPr>
          <w:rFonts w:ascii="Arial" w:hAnsi="Arial" w:cs="Arial"/>
          <w:sz w:val="18"/>
          <w:szCs w:val="18"/>
        </w:rPr>
        <w:t>Neuroscience</w:t>
      </w:r>
      <w:proofErr w:type="spellEnd"/>
      <w:r w:rsidRPr="00FC6E41">
        <w:rPr>
          <w:rFonts w:ascii="Arial" w:hAnsi="Arial" w:cs="Arial"/>
          <w:sz w:val="18"/>
          <w:szCs w:val="18"/>
        </w:rPr>
        <w:t xml:space="preserve">” muestra ahora que el LC determina cuándo es posible la transición entre los dos estados de sueño, lo que demuestra que esta área cerebral es crucial para la </w:t>
      </w:r>
      <w:proofErr w:type="spellStart"/>
      <w:r w:rsidRPr="00FC6E41">
        <w:rPr>
          <w:rFonts w:ascii="Arial" w:hAnsi="Arial" w:cs="Arial"/>
          <w:sz w:val="18"/>
          <w:szCs w:val="18"/>
        </w:rPr>
        <w:t>ciclicidad</w:t>
      </w:r>
      <w:proofErr w:type="spellEnd"/>
      <w:r w:rsidRPr="00FC6E41">
        <w:rPr>
          <w:rFonts w:ascii="Arial" w:hAnsi="Arial" w:cs="Arial"/>
          <w:sz w:val="18"/>
          <w:szCs w:val="18"/>
        </w:rPr>
        <w:t xml:space="preserve"> normal de los estados de sueño. Además, el equipo descubrió que las experiencias durante el día, en particular el estrés, alteran la actividad del LC durante el sueño y dan lugar a un ciclo de sueño desorganizado y despertares demasiado frecuentes. Estos descubrimientos proporcionan información crucial para una mejor comprensión de los trastornos del sueño y podrían conducir a mejores tratamientos.</w:t>
      </w:r>
    </w:p>
    <w:p w:rsidR="00FC6E41" w:rsidRDefault="00521F18" w:rsidP="00FC6E41">
      <w:pPr>
        <w:jc w:val="both"/>
        <w:rPr>
          <w:rFonts w:ascii="Arial" w:hAnsi="Arial" w:cs="Arial"/>
          <w:sz w:val="18"/>
          <w:szCs w:val="18"/>
        </w:rPr>
      </w:pPr>
      <w:r w:rsidRPr="00FC6E41">
        <w:rPr>
          <w:rFonts w:ascii="Arial" w:hAnsi="Arial" w:cs="Arial"/>
          <w:b/>
          <w:sz w:val="18"/>
          <w:szCs w:val="18"/>
        </w:rPr>
        <w:t>La Crónica</w:t>
      </w:r>
      <w:r w:rsidRPr="00FC6E41">
        <w:rPr>
          <w:rFonts w:ascii="Arial" w:hAnsi="Arial" w:cs="Arial"/>
          <w:sz w:val="18"/>
          <w:szCs w:val="18"/>
        </w:rPr>
        <w:t xml:space="preserve">, (Redacción), </w:t>
      </w:r>
    </w:p>
    <w:p w:rsidR="00521F18" w:rsidRPr="00FC6E41" w:rsidRDefault="00521F18" w:rsidP="00FC6E41">
      <w:pPr>
        <w:jc w:val="both"/>
        <w:rPr>
          <w:rFonts w:ascii="Arial" w:hAnsi="Arial" w:cs="Arial"/>
          <w:sz w:val="18"/>
          <w:szCs w:val="18"/>
        </w:rPr>
      </w:pPr>
      <w:r w:rsidRPr="00FC6E41">
        <w:rPr>
          <w:rFonts w:ascii="Arial" w:hAnsi="Arial" w:cs="Arial"/>
          <w:sz w:val="18"/>
          <w:szCs w:val="18"/>
        </w:rPr>
        <w:t>https://www.cronica.com.mx/academia/2024/11/26/identifican-nuevo-reloj-que-estructura-el-sueno/</w:t>
      </w:r>
    </w:p>
    <w:p w:rsidR="00521F18" w:rsidRPr="00FC6E41" w:rsidRDefault="00521F18" w:rsidP="00FC6E41">
      <w:pPr>
        <w:jc w:val="both"/>
        <w:rPr>
          <w:rFonts w:ascii="Arial" w:hAnsi="Arial" w:cs="Arial"/>
          <w:sz w:val="18"/>
          <w:szCs w:val="18"/>
        </w:rPr>
      </w:pPr>
    </w:p>
    <w:p w:rsidR="00521F18" w:rsidRPr="00FC6E41" w:rsidRDefault="00521F18" w:rsidP="00FC6E41">
      <w:pPr>
        <w:jc w:val="both"/>
        <w:rPr>
          <w:rFonts w:ascii="Arial" w:hAnsi="Arial" w:cs="Arial"/>
          <w:sz w:val="18"/>
          <w:szCs w:val="18"/>
        </w:rPr>
      </w:pPr>
    </w:p>
    <w:sectPr w:rsidR="00521F18" w:rsidRPr="00FC6E41" w:rsidSect="0099025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4F3"/>
    <w:rsid w:val="004C6BF4"/>
    <w:rsid w:val="00521F18"/>
    <w:rsid w:val="006E64F3"/>
    <w:rsid w:val="0099025B"/>
    <w:rsid w:val="00F54139"/>
    <w:rsid w:val="00FC6E4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E526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21F18"/>
    <w:pPr>
      <w:spacing w:before="100" w:beforeAutospacing="1" w:after="100" w:afterAutospacing="1"/>
      <w:outlineLvl w:val="0"/>
    </w:pPr>
    <w:rPr>
      <w:rFonts w:ascii="Times" w:hAnsi="Times"/>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s">
    <w:name w:val="s-s"/>
    <w:basedOn w:val="Normal"/>
    <w:rsid w:val="006E64F3"/>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6E64F3"/>
    <w:pPr>
      <w:spacing w:before="100" w:beforeAutospacing="1" w:after="100" w:afterAutospacing="1"/>
    </w:pPr>
    <w:rPr>
      <w:rFonts w:ascii="Times" w:hAnsi="Times" w:cs="Times New Roman"/>
      <w:sz w:val="20"/>
      <w:szCs w:val="20"/>
    </w:rPr>
  </w:style>
  <w:style w:type="character" w:customStyle="1" w:styleId="Ttulo1Car">
    <w:name w:val="Título 1 Car"/>
    <w:basedOn w:val="Fuentedeprrafopredeter"/>
    <w:link w:val="Ttulo1"/>
    <w:uiPriority w:val="9"/>
    <w:rsid w:val="00521F18"/>
    <w:rPr>
      <w:rFonts w:ascii="Times" w:hAnsi="Times"/>
      <w:b/>
      <w:bCs/>
      <w:kern w:val="36"/>
      <w:sz w:val="48"/>
      <w:szCs w:val="48"/>
    </w:rPr>
  </w:style>
  <w:style w:type="character" w:styleId="Hipervnculo">
    <w:name w:val="Hyperlink"/>
    <w:basedOn w:val="Fuentedeprrafopredeter"/>
    <w:uiPriority w:val="99"/>
    <w:unhideWhenUsed/>
    <w:rsid w:val="00FC6E4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21F18"/>
    <w:pPr>
      <w:spacing w:before="100" w:beforeAutospacing="1" w:after="100" w:afterAutospacing="1"/>
      <w:outlineLvl w:val="0"/>
    </w:pPr>
    <w:rPr>
      <w:rFonts w:ascii="Times" w:hAnsi="Times"/>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s">
    <w:name w:val="s-s"/>
    <w:basedOn w:val="Normal"/>
    <w:rsid w:val="006E64F3"/>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6E64F3"/>
    <w:pPr>
      <w:spacing w:before="100" w:beforeAutospacing="1" w:after="100" w:afterAutospacing="1"/>
    </w:pPr>
    <w:rPr>
      <w:rFonts w:ascii="Times" w:hAnsi="Times" w:cs="Times New Roman"/>
      <w:sz w:val="20"/>
      <w:szCs w:val="20"/>
    </w:rPr>
  </w:style>
  <w:style w:type="character" w:customStyle="1" w:styleId="Ttulo1Car">
    <w:name w:val="Título 1 Car"/>
    <w:basedOn w:val="Fuentedeprrafopredeter"/>
    <w:link w:val="Ttulo1"/>
    <w:uiPriority w:val="9"/>
    <w:rsid w:val="00521F18"/>
    <w:rPr>
      <w:rFonts w:ascii="Times" w:hAnsi="Times"/>
      <w:b/>
      <w:bCs/>
      <w:kern w:val="36"/>
      <w:sz w:val="48"/>
      <w:szCs w:val="48"/>
    </w:rPr>
  </w:style>
  <w:style w:type="character" w:styleId="Hipervnculo">
    <w:name w:val="Hyperlink"/>
    <w:basedOn w:val="Fuentedeprrafopredeter"/>
    <w:uiPriority w:val="99"/>
    <w:unhideWhenUsed/>
    <w:rsid w:val="00FC6E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98391">
      <w:bodyDiv w:val="1"/>
      <w:marLeft w:val="0"/>
      <w:marRight w:val="0"/>
      <w:marTop w:val="0"/>
      <w:marBottom w:val="0"/>
      <w:divBdr>
        <w:top w:val="none" w:sz="0" w:space="0" w:color="auto"/>
        <w:left w:val="none" w:sz="0" w:space="0" w:color="auto"/>
        <w:bottom w:val="none" w:sz="0" w:space="0" w:color="auto"/>
        <w:right w:val="none" w:sz="0" w:space="0" w:color="auto"/>
      </w:divBdr>
    </w:div>
    <w:div w:id="301010907">
      <w:bodyDiv w:val="1"/>
      <w:marLeft w:val="0"/>
      <w:marRight w:val="0"/>
      <w:marTop w:val="0"/>
      <w:marBottom w:val="0"/>
      <w:divBdr>
        <w:top w:val="none" w:sz="0" w:space="0" w:color="auto"/>
        <w:left w:val="none" w:sz="0" w:space="0" w:color="auto"/>
        <w:bottom w:val="none" w:sz="0" w:space="0" w:color="auto"/>
        <w:right w:val="none" w:sz="0" w:space="0" w:color="auto"/>
      </w:divBdr>
      <w:divsChild>
        <w:div w:id="1943687943">
          <w:marLeft w:val="0"/>
          <w:marRight w:val="0"/>
          <w:marTop w:val="150"/>
          <w:marBottom w:val="0"/>
          <w:divBdr>
            <w:top w:val="none" w:sz="0" w:space="0" w:color="auto"/>
            <w:left w:val="single" w:sz="48" w:space="4" w:color="626366"/>
            <w:bottom w:val="single" w:sz="6" w:space="0" w:color="626366"/>
            <w:right w:val="none" w:sz="0" w:space="0" w:color="auto"/>
          </w:divBdr>
        </w:div>
        <w:div w:id="1207985110">
          <w:marLeft w:val="0"/>
          <w:marRight w:val="0"/>
          <w:marTop w:val="0"/>
          <w:marBottom w:val="120"/>
          <w:divBdr>
            <w:top w:val="none" w:sz="0" w:space="0" w:color="auto"/>
            <w:left w:val="none" w:sz="0" w:space="0" w:color="auto"/>
            <w:bottom w:val="none" w:sz="0" w:space="0" w:color="auto"/>
            <w:right w:val="none" w:sz="0" w:space="0" w:color="auto"/>
          </w:divBdr>
        </w:div>
        <w:div w:id="998116884">
          <w:marLeft w:val="0"/>
          <w:marRight w:val="0"/>
          <w:marTop w:val="0"/>
          <w:marBottom w:val="120"/>
          <w:divBdr>
            <w:top w:val="none" w:sz="0" w:space="0" w:color="auto"/>
            <w:left w:val="none" w:sz="0" w:space="0" w:color="auto"/>
            <w:bottom w:val="none" w:sz="0" w:space="0" w:color="auto"/>
            <w:right w:val="none" w:sz="0" w:space="0" w:color="auto"/>
          </w:divBdr>
        </w:div>
      </w:divsChild>
    </w:div>
    <w:div w:id="541795884">
      <w:bodyDiv w:val="1"/>
      <w:marLeft w:val="0"/>
      <w:marRight w:val="0"/>
      <w:marTop w:val="0"/>
      <w:marBottom w:val="0"/>
      <w:divBdr>
        <w:top w:val="none" w:sz="0" w:space="0" w:color="auto"/>
        <w:left w:val="none" w:sz="0" w:space="0" w:color="auto"/>
        <w:bottom w:val="none" w:sz="0" w:space="0" w:color="auto"/>
        <w:right w:val="none" w:sz="0" w:space="0" w:color="auto"/>
      </w:divBdr>
    </w:div>
    <w:div w:id="676274975">
      <w:bodyDiv w:val="1"/>
      <w:marLeft w:val="0"/>
      <w:marRight w:val="0"/>
      <w:marTop w:val="0"/>
      <w:marBottom w:val="0"/>
      <w:divBdr>
        <w:top w:val="none" w:sz="0" w:space="0" w:color="auto"/>
        <w:left w:val="none" w:sz="0" w:space="0" w:color="auto"/>
        <w:bottom w:val="none" w:sz="0" w:space="0" w:color="auto"/>
        <w:right w:val="none" w:sz="0" w:space="0" w:color="auto"/>
      </w:divBdr>
    </w:div>
    <w:div w:id="1581208203">
      <w:bodyDiv w:val="1"/>
      <w:marLeft w:val="0"/>
      <w:marRight w:val="0"/>
      <w:marTop w:val="0"/>
      <w:marBottom w:val="0"/>
      <w:divBdr>
        <w:top w:val="none" w:sz="0" w:space="0" w:color="auto"/>
        <w:left w:val="none" w:sz="0" w:space="0" w:color="auto"/>
        <w:bottom w:val="none" w:sz="0" w:space="0" w:color="auto"/>
        <w:right w:val="none" w:sz="0" w:space="0" w:color="auto"/>
      </w:divBdr>
    </w:div>
    <w:div w:id="1656689138">
      <w:bodyDiv w:val="1"/>
      <w:marLeft w:val="0"/>
      <w:marRight w:val="0"/>
      <w:marTop w:val="0"/>
      <w:marBottom w:val="0"/>
      <w:divBdr>
        <w:top w:val="none" w:sz="0" w:space="0" w:color="auto"/>
        <w:left w:val="none" w:sz="0" w:space="0" w:color="auto"/>
        <w:bottom w:val="none" w:sz="0" w:space="0" w:color="auto"/>
        <w:right w:val="none" w:sz="0" w:space="0" w:color="auto"/>
      </w:divBdr>
    </w:div>
    <w:div w:id="1681394514">
      <w:bodyDiv w:val="1"/>
      <w:marLeft w:val="0"/>
      <w:marRight w:val="0"/>
      <w:marTop w:val="0"/>
      <w:marBottom w:val="0"/>
      <w:divBdr>
        <w:top w:val="none" w:sz="0" w:space="0" w:color="auto"/>
        <w:left w:val="none" w:sz="0" w:space="0" w:color="auto"/>
        <w:bottom w:val="none" w:sz="0" w:space="0" w:color="auto"/>
        <w:right w:val="none" w:sz="0" w:space="0" w:color="auto"/>
      </w:divBdr>
    </w:div>
    <w:div w:id="1696690559">
      <w:bodyDiv w:val="1"/>
      <w:marLeft w:val="0"/>
      <w:marRight w:val="0"/>
      <w:marTop w:val="0"/>
      <w:marBottom w:val="0"/>
      <w:divBdr>
        <w:top w:val="none" w:sz="0" w:space="0" w:color="auto"/>
        <w:left w:val="none" w:sz="0" w:space="0" w:color="auto"/>
        <w:bottom w:val="none" w:sz="0" w:space="0" w:color="auto"/>
        <w:right w:val="none" w:sz="0" w:space="0" w:color="auto"/>
      </w:divBdr>
    </w:div>
    <w:div w:id="1704935596">
      <w:bodyDiv w:val="1"/>
      <w:marLeft w:val="0"/>
      <w:marRight w:val="0"/>
      <w:marTop w:val="0"/>
      <w:marBottom w:val="0"/>
      <w:divBdr>
        <w:top w:val="none" w:sz="0" w:space="0" w:color="auto"/>
        <w:left w:val="none" w:sz="0" w:space="0" w:color="auto"/>
        <w:bottom w:val="none" w:sz="0" w:space="0" w:color="auto"/>
        <w:right w:val="none" w:sz="0" w:space="0" w:color="auto"/>
      </w:divBdr>
      <w:divsChild>
        <w:div w:id="1078288100">
          <w:marLeft w:val="0"/>
          <w:marRight w:val="0"/>
          <w:marTop w:val="180"/>
          <w:marBottom w:val="180"/>
          <w:divBdr>
            <w:top w:val="none" w:sz="0" w:space="0" w:color="auto"/>
            <w:left w:val="none" w:sz="0" w:space="0" w:color="auto"/>
            <w:bottom w:val="none" w:sz="0" w:space="0" w:color="auto"/>
            <w:right w:val="none" w:sz="0" w:space="0" w:color="auto"/>
          </w:divBdr>
        </w:div>
        <w:div w:id="1539929309">
          <w:marLeft w:val="0"/>
          <w:marRight w:val="0"/>
          <w:marTop w:val="180"/>
          <w:marBottom w:val="0"/>
          <w:divBdr>
            <w:top w:val="none" w:sz="0" w:space="0" w:color="auto"/>
            <w:left w:val="none" w:sz="0" w:space="0" w:color="auto"/>
            <w:bottom w:val="none" w:sz="0" w:space="0" w:color="auto"/>
            <w:right w:val="none" w:sz="0" w:space="0" w:color="auto"/>
          </w:divBdr>
          <w:divsChild>
            <w:div w:id="1177498747">
              <w:marLeft w:val="0"/>
              <w:marRight w:val="0"/>
              <w:marTop w:val="0"/>
              <w:marBottom w:val="0"/>
              <w:divBdr>
                <w:top w:val="none" w:sz="0" w:space="0" w:color="auto"/>
                <w:left w:val="none" w:sz="0" w:space="0" w:color="auto"/>
                <w:bottom w:val="none" w:sz="0" w:space="0" w:color="auto"/>
                <w:right w:val="none" w:sz="0" w:space="0" w:color="auto"/>
              </w:divBdr>
              <w:divsChild>
                <w:div w:id="1960065004">
                  <w:marLeft w:val="0"/>
                  <w:marRight w:val="0"/>
                  <w:marTop w:val="150"/>
                  <w:marBottom w:val="0"/>
                  <w:divBdr>
                    <w:top w:val="none" w:sz="0" w:space="0" w:color="auto"/>
                    <w:left w:val="single" w:sz="48" w:space="4" w:color="626366"/>
                    <w:bottom w:val="single" w:sz="6" w:space="0" w:color="626366"/>
                    <w:right w:val="none" w:sz="0" w:space="0" w:color="auto"/>
                  </w:divBdr>
                </w:div>
                <w:div w:id="2038768996">
                  <w:marLeft w:val="0"/>
                  <w:marRight w:val="0"/>
                  <w:marTop w:val="0"/>
                  <w:marBottom w:val="120"/>
                  <w:divBdr>
                    <w:top w:val="none" w:sz="0" w:space="0" w:color="auto"/>
                    <w:left w:val="none" w:sz="0" w:space="0" w:color="auto"/>
                    <w:bottom w:val="none" w:sz="0" w:space="0" w:color="auto"/>
                    <w:right w:val="none" w:sz="0" w:space="0" w:color="auto"/>
                  </w:divBdr>
                </w:div>
                <w:div w:id="414874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53353291">
      <w:bodyDiv w:val="1"/>
      <w:marLeft w:val="0"/>
      <w:marRight w:val="0"/>
      <w:marTop w:val="0"/>
      <w:marBottom w:val="0"/>
      <w:divBdr>
        <w:top w:val="none" w:sz="0" w:space="0" w:color="auto"/>
        <w:left w:val="none" w:sz="0" w:space="0" w:color="auto"/>
        <w:bottom w:val="none" w:sz="0" w:space="0" w:color="auto"/>
        <w:right w:val="none" w:sz="0" w:space="0" w:color="auto"/>
      </w:divBdr>
    </w:div>
    <w:div w:id="2077706042">
      <w:bodyDiv w:val="1"/>
      <w:marLeft w:val="0"/>
      <w:marRight w:val="0"/>
      <w:marTop w:val="0"/>
      <w:marBottom w:val="0"/>
      <w:divBdr>
        <w:top w:val="none" w:sz="0" w:space="0" w:color="auto"/>
        <w:left w:val="none" w:sz="0" w:space="0" w:color="auto"/>
        <w:bottom w:val="none" w:sz="0" w:space="0" w:color="auto"/>
        <w:right w:val="none" w:sz="0" w:space="0" w:color="auto"/>
      </w:divBdr>
      <w:divsChild>
        <w:div w:id="344869753">
          <w:marLeft w:val="0"/>
          <w:marRight w:val="0"/>
          <w:marTop w:val="180"/>
          <w:marBottom w:val="180"/>
          <w:divBdr>
            <w:top w:val="none" w:sz="0" w:space="0" w:color="auto"/>
            <w:left w:val="none" w:sz="0" w:space="0" w:color="auto"/>
            <w:bottom w:val="none" w:sz="0" w:space="0" w:color="auto"/>
            <w:right w:val="none" w:sz="0" w:space="0" w:color="auto"/>
          </w:divBdr>
        </w:div>
        <w:div w:id="1464232433">
          <w:marLeft w:val="0"/>
          <w:marRight w:val="0"/>
          <w:marTop w:val="180"/>
          <w:marBottom w:val="0"/>
          <w:divBdr>
            <w:top w:val="none" w:sz="0" w:space="0" w:color="auto"/>
            <w:left w:val="none" w:sz="0" w:space="0" w:color="auto"/>
            <w:bottom w:val="none" w:sz="0" w:space="0" w:color="auto"/>
            <w:right w:val="none" w:sz="0" w:space="0" w:color="auto"/>
          </w:divBdr>
          <w:divsChild>
            <w:div w:id="1386368044">
              <w:marLeft w:val="0"/>
              <w:marRight w:val="0"/>
              <w:marTop w:val="0"/>
              <w:marBottom w:val="0"/>
              <w:divBdr>
                <w:top w:val="none" w:sz="0" w:space="0" w:color="auto"/>
                <w:left w:val="none" w:sz="0" w:space="0" w:color="auto"/>
                <w:bottom w:val="none" w:sz="0" w:space="0" w:color="auto"/>
                <w:right w:val="none" w:sz="0" w:space="0" w:color="auto"/>
              </w:divBdr>
              <w:divsChild>
                <w:div w:id="156115894">
                  <w:marLeft w:val="0"/>
                  <w:marRight w:val="0"/>
                  <w:marTop w:val="150"/>
                  <w:marBottom w:val="0"/>
                  <w:divBdr>
                    <w:top w:val="none" w:sz="0" w:space="0" w:color="auto"/>
                    <w:left w:val="single" w:sz="48" w:space="4" w:color="626366"/>
                    <w:bottom w:val="single" w:sz="6" w:space="0" w:color="626366"/>
                    <w:right w:val="none" w:sz="0" w:space="0" w:color="auto"/>
                  </w:divBdr>
                </w:div>
                <w:div w:id="537595027">
                  <w:marLeft w:val="0"/>
                  <w:marRight w:val="0"/>
                  <w:marTop w:val="0"/>
                  <w:marBottom w:val="120"/>
                  <w:divBdr>
                    <w:top w:val="none" w:sz="0" w:space="0" w:color="auto"/>
                    <w:left w:val="none" w:sz="0" w:space="0" w:color="auto"/>
                    <w:bottom w:val="none" w:sz="0" w:space="0" w:color="auto"/>
                    <w:right w:val="none" w:sz="0" w:space="0" w:color="auto"/>
                  </w:divBdr>
                </w:div>
                <w:div w:id="183056216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377898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1320</Words>
  <Characters>7260</Characters>
  <Application>Microsoft Macintosh Word</Application>
  <DocSecurity>0</DocSecurity>
  <Lines>60</Lines>
  <Paragraphs>17</Paragraphs>
  <ScaleCrop>false</ScaleCrop>
  <Company/>
  <LinksUpToDate>false</LinksUpToDate>
  <CharactersWithSpaces>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U-38715</dc:creator>
  <cp:keywords/>
  <dc:description/>
  <cp:lastModifiedBy>U-38715</cp:lastModifiedBy>
  <cp:revision>1</cp:revision>
  <dcterms:created xsi:type="dcterms:W3CDTF">2024-11-27T13:38:00Z</dcterms:created>
  <dcterms:modified xsi:type="dcterms:W3CDTF">2024-11-27T15:01:00Z</dcterms:modified>
</cp:coreProperties>
</file>